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sdt>
      <w:sdtPr>
        <w:docPartObj>
          <w:docPartGallery w:val="Cover Pages"/>
          <w:docPartUnique w:val="true"/>
        </w:docPartObj>
        <w:id w:val="1605940309"/>
      </w:sdtPr>
      <w:sdtContent>
        <w:p>
          <w:pPr>
            <w:pStyle w:val="NoSpacing"/>
            <w:ind w:left="2832" w:firstLine="708"/>
            <w:rPr>
              <w:rFonts w:ascii="Times New Roman" w:hAnsi="Times New Roman" w:eastAsia="" w:cs="Times New Roman" w:eastAsiaTheme="majorEastAsia"/>
              <w:sz w:val="24"/>
              <w:szCs w:val="24"/>
            </w:rPr>
          </w:pPr>
          <w:r>
            <w:rPr>
              <w:rFonts w:eastAsia="" w:cs="Times New Roman" w:ascii="Times New Roman" w:hAnsi="Times New Roman" w:eastAsiaTheme="majorEastAsia"/>
              <w:sz w:val="24"/>
              <w:szCs w:val="24"/>
            </w:rPr>
            <w:t xml:space="preserve">   </w:t>
          </w:r>
          <w:r>
            <w:rPr/>
            <w:drawing>
              <wp:inline distT="0" distB="0" distL="0" distR="0">
                <wp:extent cx="668655" cy="91122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655" cy="911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/>
              <w:b/>
              <w:sz w:val="36"/>
              <w:szCs w:val="36"/>
            </w:rPr>
          </w:pPr>
          <w:r>
            <mc:AlternateContent>
              <mc:Choice Requires="wps">
                <w:drawing>
                  <wp:anchor behindDoc="0" distT="0" distB="0" distL="0" distR="0" simplePos="0" locked="0" layoutInCell="0" allowOverlap="1" relativeHeight="3" wp14:anchorId="3F6827D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050530" cy="609600"/>
                    <wp:effectExtent l="20320" t="23495" r="26035" b="22860"/>
                    <wp:wrapNone/>
                    <wp:docPr id="2" name="Rectangle 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049960" cy="60912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rgbClr val="ffffff">
                                  <a:lumMod val="9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shape_0" ID="Rectangle 2" path="m0,0l-2147483645,0l-2147483645,-2147483646l0,-2147483646xe" fillcolor="#4f81bd" stroked="t" o:allowincell="f" style="position:absolute;margin-left:-19.3pt;margin-top:793.6pt;width:633.8pt;height:47.9pt;mso-wrap-style:none;v-text-anchor:middle;mso-position-horizontal:center;mso-position-horizontal-relative:page;mso-position-vertical:bottom;mso-position-vertical-relative:page" wp14:anchorId="3F6827D7">
                    <v:fill o:detectmouseclick="t" type="solid" color2="#b07e42"/>
                    <v:stroke color="#f2f2f2" weight="38160" joinstyle="miter" endcap="flat"/>
                    <w10:wrap type="none"/>
                  </v:rect>
                </w:pict>
              </mc:Fallback>
            </mc:AlternateContent>
            <mc:AlternateContent>
              <mc:Choice Requires="wps">
                <w:drawing>
                  <wp:anchor behindDoc="0" distT="0" distB="0" distL="0" distR="0" simplePos="0" locked="0" layoutInCell="0" allowOverlap="1" relativeHeight="9" wp14:anchorId="70772F4B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1440" cy="11367770"/>
                    <wp:effectExtent l="8890" t="8890" r="5080" b="10795"/>
                    <wp:wrapNone/>
                    <wp:docPr id="3" name="Rectangle 4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720" cy="11367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4bacc6">
                                  <a:lumMod val="7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shape_0" ID="Rectangle 4" path="m0,0l-2147483645,0l-2147483645,-2147483646l0,-2147483646xe" fillcolor="white" stroked="t" o:allowincell="f" style="position:absolute;margin-left:24.75pt;margin-top:-26.6pt;width:7.1pt;height:895pt;mso-wrap-style:none;v-text-anchor:middle;mso-position-horizontal:center;mso-position-horizontal-relative:page;mso-position-vertical:center;mso-position-vertical-relative:page" wp14:anchorId="70772F4B">
                    <v:fill o:detectmouseclick="t" type="solid" color2="black"/>
                    <v:stroke color="#31859c" weight="9360" joinstyle="miter" endcap="flat"/>
                    <w10:wrap type="none"/>
                  </v:rect>
                </w:pict>
              </mc:Fallback>
            </mc:AlternateContent>
            <mc:AlternateContent>
              <mc:Choice Requires="wps">
                <w:drawing>
                  <wp:anchor behindDoc="0" distT="0" distB="0" distL="0" distR="0" simplePos="0" locked="0" layoutInCell="0" allowOverlap="1" relativeHeight="12" wp14:anchorId="19CD3501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1440" cy="11367770"/>
                    <wp:effectExtent l="6350" t="8890" r="7620" b="10795"/>
                    <wp:wrapNone/>
                    <wp:docPr id="4" name="Rectangle 5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0720" cy="11367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4bacc6">
                                  <a:lumMod val="75000"/>
                                  <a:lumOff val="0"/>
                                </a:srgbClr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shape_0" ID="Rectangle 5" path="m0,0l-2147483645,0l-2147483645,-2147483646l0,-2147483646xe" fillcolor="white" stroked="t" o:allowincell="f" style="position:absolute;margin-left:38.9pt;margin-top:-26.6pt;width:7.1pt;height:895pt;mso-wrap-style:none;v-text-anchor:middle;mso-position-horizontal:center;mso-position-horizontal-relative:page;mso-position-vertical:center;mso-position-vertical-relative:page" wp14:anchorId="19CD3501">
                    <v:fill o:detectmouseclick="t" type="solid" color2="black"/>
                    <v:stroke color="#31859c" weight="9360" joinstyle="miter" endcap="flat"/>
                    <w10:wrap type="none"/>
                  </v:rect>
                </w:pict>
              </mc:Fallback>
            </mc:AlternateContent>
          </w:r>
          <w:r>
            <w:rPr>
              <w:rFonts w:eastAsia="" w:cs="Times New Roman" w:ascii="Times New Roman" w:hAnsi="Times New Roman" w:eastAsiaTheme="majorEastAsia"/>
              <w:b/>
              <w:sz w:val="36"/>
              <w:szCs w:val="36"/>
            </w:rPr>
            <w:t xml:space="preserve"> </w:t>
          </w:r>
          <w:r>
            <w:rPr>
              <w:rFonts w:eastAsia="" w:cs="Times New Roman" w:ascii="Times New Roman" w:hAnsi="Times New Roman" w:eastAsiaTheme="majorEastAsia"/>
              <w:b/>
              <w:sz w:val="36"/>
              <w:szCs w:val="36"/>
            </w:rPr>
            <w:t>COMUNE DI CERVINARA (AV)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Settore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IV</w:t>
          </w: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 Demografico, statistico, Pubblica istruzione –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dott.ssa Rita Valente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color w:val="0000FF" w:themeColor="hyperlink"/>
              <w:sz w:val="16"/>
              <w:szCs w:val="16"/>
              <w:u w:val="single"/>
            </w:rPr>
          </w:pPr>
          <w:r>
            <w:rPr>
              <w:rStyle w:val="CollegamentoInternet"/>
              <w:rFonts w:eastAsia="" w:cs="Times New Roman" w:ascii="Times New Roman" w:hAnsi="Times New Roman" w:eastAsiaTheme="majorEastAsia"/>
              <w:bCs/>
              <w:sz w:val="16"/>
              <w:szCs w:val="16"/>
            </w:rPr>
            <w:t>Tel. 0824839835</w:t>
          </w: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- </w:t>
          </w:r>
          <w:r>
            <w:rPr>
              <w:rFonts w:eastAsia="" w:cs="Times New Roman" w:ascii="Times New Roman" w:hAnsi="Times New Roman" w:eastAsiaTheme="majorEastAsia"/>
              <w:bCs/>
              <w:color w:val="0000FF" w:themeColor="hyperlink"/>
              <w:sz w:val="16"/>
              <w:szCs w:val="16"/>
              <w:u w:val="single"/>
            </w:rPr>
            <w:t>anagrafe@comune.cervinara.av.it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hyperlink r:id="rId3">
            <w:r>
              <w:rPr>
                <w:rStyle w:val="CollegamentoInternet"/>
                <w:rFonts w:eastAsia="" w:cs="Times New Roman" w:ascii="Times New Roman" w:hAnsi="Times New Roman" w:eastAsiaTheme="majorEastAsia"/>
                <w:bCs/>
                <w:sz w:val="16"/>
                <w:szCs w:val="16"/>
              </w:rPr>
              <w:t>Pec: ufficioprotocollo.cervinara@asmepec.it</w:t>
            </w:r>
          </w:hyperlink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hyperlink r:id="rId4">
            <w:r>
              <w:rPr>
                <w:rStyle w:val="CollegamentoInternet"/>
                <w:rFonts w:eastAsia="" w:cs="Times New Roman" w:ascii="Times New Roman" w:hAnsi="Times New Roman" w:eastAsiaTheme="majorEastAsia"/>
                <w:bCs/>
                <w:sz w:val="16"/>
                <w:szCs w:val="16"/>
              </w:rPr>
              <w:t>www.comune.cervinara.av.it</w:t>
            </w:r>
          </w:hyperlink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ascii="Times New Roman" w:hAnsi="Times New Roman" w:eastAsiaTheme="majorEastAsia"/>
              <w:bCs/>
              <w:sz w:val="16"/>
              <w:szCs w:val="16"/>
            </w:rPr>
            <w:t xml:space="preserve">Codice fatturazione: </w:t>
          </w:r>
          <w:r>
            <w:rPr>
              <w:rFonts w:eastAsia="" w:cs="Times New Roman" w:ascii="Times New Roman" w:hAnsi="Times New Roman" w:eastAsiaTheme="majorEastAsia"/>
              <w:b/>
              <w:sz w:val="16"/>
              <w:szCs w:val="16"/>
            </w:rPr>
            <w:t>J3VKCQ</w:t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eastAsiaTheme="majorEastAsia" w:ascii="Times New Roman" w:hAnsi="Times New Roman"/>
              <w:bCs/>
              <w:sz w:val="16"/>
              <w:szCs w:val="16"/>
            </w:rPr>
          </w:r>
        </w:p>
        <w:p>
          <w:pPr>
            <w:pStyle w:val="NoSpacing"/>
            <w:jc w:val="center"/>
            <w:rPr>
              <w:rFonts w:ascii="Times New Roman" w:hAnsi="Times New Roman" w:eastAsia="" w:cs="Times New Roman" w:eastAsiaTheme="majorEastAsia"/>
              <w:bCs/>
              <w:sz w:val="16"/>
              <w:szCs w:val="16"/>
            </w:rPr>
          </w:pPr>
          <w:r>
            <w:rPr>
              <w:rFonts w:eastAsia="" w:cs="Times New Roman" w:eastAsiaTheme="majorEastAsia" w:ascii="Times New Roman" w:hAnsi="Times New Roman"/>
              <w:bCs/>
              <w:sz w:val="16"/>
              <w:szCs w:val="16"/>
            </w:rPr>
          </w:r>
        </w:p>
        <w:p>
          <w:pPr>
            <w:pStyle w:val="Sottotitolo"/>
            <w:jc w:val="center"/>
            <w:rPr>
              <w:rFonts w:ascii="Cambria" w:hAnsi="Cambria" w:eastAsia="" w:cs="" w:asciiTheme="majorHAnsi" w:cstheme="majorBidi" w:eastAsiaTheme="majorEastAsia" w:hAnsiTheme="majorHAnsi"/>
              <w:i/>
              <w:i/>
              <w:iCs/>
              <w:color w:val="4F81BD" w:themeColor="accent1"/>
              <w:sz w:val="24"/>
              <w:szCs w:val="24"/>
              <w:lang w:eastAsia="it-IT"/>
            </w:rPr>
          </w:pPr>
          <w:r>
            <w:rPr>
              <w:rFonts w:eastAsia="" w:cs="" w:ascii="Cambria" w:hAnsi="Cambria" w:asciiTheme="majorHAnsi" w:cstheme="majorBidi" w:eastAsiaTheme="majorEastAsia" w:hAnsiTheme="majorHAnsi"/>
              <w:i/>
              <w:iCs/>
              <w:color w:val="4F81BD" w:themeColor="accent1"/>
              <w:sz w:val="24"/>
              <w:szCs w:val="24"/>
              <w:lang w:eastAsia="it-IT"/>
            </w:rPr>
            <w:t>Servizio pubblica istruzione</w:t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  <w:lang w:eastAsia="it-IT"/>
            </w:rPr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bCs/>
              <w:sz w:val="28"/>
              <w:szCs w:val="28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28"/>
              <w:szCs w:val="28"/>
              <w:lang w:eastAsia="it-IT"/>
            </w:rPr>
            <w:t>AVVISO PUBBLICO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bCs/>
              <w:sz w:val="28"/>
              <w:szCs w:val="28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28"/>
              <w:szCs w:val="28"/>
              <w:lang w:eastAsia="it-IT"/>
            </w:rPr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bCs/>
              <w:sz w:val="18"/>
              <w:szCs w:val="18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18"/>
              <w:szCs w:val="18"/>
              <w:lang w:eastAsia="it-IT"/>
            </w:rPr>
            <w:t>FORNITURA GRATUITA O SEMIGRATUITA DEI LIBRI DI TESTO AGLI ALUNNI DELLA SCUOLA SECONDARIA DI PRIMO E SECONDO GRADO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bCs/>
              <w:sz w:val="18"/>
              <w:szCs w:val="18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18"/>
              <w:szCs w:val="18"/>
              <w:lang w:eastAsia="it-IT"/>
            </w:rPr>
            <w:t>MEDIANTE CEDOLE LIBRARIE E VOUCHER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/>
              <w:b/>
              <w:bCs/>
              <w:sz w:val="20"/>
              <w:szCs w:val="20"/>
              <w:lang w:eastAsia="it-IT"/>
            </w:rPr>
          </w:pPr>
          <w:r>
            <w:rPr>
              <w:rFonts w:eastAsia="Times New Roman" w:cs="Times New Roman" w:ascii="Times New Roman" w:hAnsi="Times New Roman"/>
              <w:b/>
              <w:bCs/>
              <w:sz w:val="20"/>
              <w:szCs w:val="20"/>
              <w:lang w:eastAsia="it-IT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 xml:space="preserve">Si rende noto che, per l’anno scolastico 2025-2026, sono aperti i termini per la presentazione delle istanze per l’assegnazione di buoni libri sotto forma di </w:t>
          </w:r>
          <w:r>
            <w:rPr>
              <w:rFonts w:eastAsia="Times New Roman" w:cs="Times New Roman" w:ascii="Times New Roman" w:hAnsi="Times New Roman"/>
              <w:sz w:val="24"/>
              <w:szCs w:val="24"/>
              <w:u w:val="single"/>
              <w:lang w:eastAsia="ar-SA"/>
            </w:rPr>
            <w:t>cedole librarie o voucher</w:t>
          </w: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 xml:space="preserve"> spendibili esclusivamente presso gli operatori economici che all’atto dell’acquisto dichiarano al genitore di essere disponibile al pagamento mediante cedola libraria unica modalità di erogazione del contributo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>.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  <w:t>DESTINATARI E  REQUISITI DI PARTECIPAZIONE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 xml:space="preserve">Il beneficio, per la fornitura gratuita o semigratuita dei libri di testo, è destinato agli studenti, qualunque ne sia la residenza, che sono iscritti per l’anno scolastico 2025/2026 alla scuola secondaria di primo e secondo grado </w:t>
          </w: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 xml:space="preserve">presso l’Istituto Comprensivo Statale del Comune di Cervinara </w:t>
          </w:r>
          <w:r>
            <w:rPr>
              <w:rFonts w:eastAsia="Times New Roman" w:cs="Times New Roman" w:ascii="Times New Roman" w:hAnsi="Times New Roman"/>
              <w:lang w:eastAsia="ar-SA"/>
            </w:rPr>
            <w:t xml:space="preserve">ed appartenenti a famiglie il cui valore </w:t>
          </w:r>
          <w:r>
            <w:rPr>
              <w:rFonts w:eastAsia="Times New Roman" w:cs="Times New Roman" w:ascii="Times New Roman" w:hAnsi="Times New Roman"/>
              <w:u w:val="single"/>
              <w:lang w:eastAsia="ar-SA"/>
            </w:rPr>
            <w:t xml:space="preserve">dell’indicatore ISEE anno 2025 in corso di validità e con scadenza 31-12-2025 </w:t>
          </w:r>
          <w:r>
            <w:rPr>
              <w:rFonts w:eastAsia="Times New Roman" w:cs="Times New Roman" w:ascii="Times New Roman" w:hAnsi="Times New Roman"/>
              <w:lang w:eastAsia="ar-SA"/>
            </w:rPr>
            <w:t>rientri nelle seguenti fasce:</w:t>
          </w:r>
        </w:p>
        <w:p>
          <w:pPr>
            <w:pStyle w:val="Normal"/>
            <w:numPr>
              <w:ilvl w:val="0"/>
              <w:numId w:val="2"/>
            </w:numPr>
            <w:suppressAutoHyphens w:val="true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/>
              <w:b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lang w:eastAsia="ar-SA"/>
            </w:rPr>
            <w:t>Fascia 1: ISEE da € 0,00 ad € 10.633,00</w:t>
          </w:r>
        </w:p>
        <w:p>
          <w:pPr>
            <w:pStyle w:val="Normal"/>
            <w:numPr>
              <w:ilvl w:val="0"/>
              <w:numId w:val="2"/>
            </w:numPr>
            <w:suppressAutoHyphens w:val="true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/>
              <w:b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lang w:eastAsia="ar-SA"/>
            </w:rPr>
            <w:t>Fascia 2: ISEE da € 10.633,01 ad € 13.300,00</w:t>
          </w:r>
        </w:p>
        <w:p>
          <w:pPr>
            <w:pStyle w:val="Normal"/>
            <w:suppressAutoHyphens w:val="true"/>
            <w:spacing w:lineRule="auto" w:line="240" w:before="0" w:after="0"/>
            <w:ind w:hanging="540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 xml:space="preserve">          </w:t>
          </w:r>
          <w:r>
            <w:rPr>
              <w:rFonts w:eastAsia="Times New Roman" w:cs="Times New Roman" w:ascii="Times New Roman" w:hAnsi="Times New Roman"/>
              <w:lang w:eastAsia="ar-SA"/>
            </w:rPr>
            <w:t xml:space="preserve">Per i genitori non coniugati e non conviventi </w:t>
          </w:r>
          <w:r>
            <w:rPr>
              <w:rFonts w:eastAsia="Times New Roman" w:cs="Times New Roman" w:ascii="Times New Roman" w:hAnsi="Times New Roman"/>
              <w:u w:val="single"/>
              <w:lang w:eastAsia="ar-SA"/>
            </w:rPr>
            <w:t xml:space="preserve">è richiesto l’ISEE minorenni </w:t>
          </w:r>
          <w:r>
            <w:rPr>
              <w:rFonts w:eastAsia="Times New Roman" w:cs="Times New Roman" w:ascii="Times New Roman" w:hAnsi="Times New Roman"/>
              <w:lang w:eastAsia="ar-SA"/>
            </w:rPr>
            <w:t>(</w:t>
          </w: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 xml:space="preserve">il genitore non convivente viene considerato nel calcolo dell’ISEE come “componente aggiuntiva o </w:t>
          </w:r>
          <w:r>
            <w:rPr>
              <w:rFonts w:eastAsia="Times New Roman" w:cs="Times New Roman" w:ascii="Times New Roman" w:hAnsi="Times New Roman"/>
              <w:lang w:eastAsia="ar-SA"/>
            </w:rPr>
            <w:t>attratta”), pena l’esclusione dal beneficio.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 xml:space="preserve">Le risorse finanziarie, come assegnate con DD della Regione Campania </w:t>
          </w:r>
          <w:r>
            <w:rPr>
              <w:rFonts w:eastAsia="Aptos" w:cs="Calibri"/>
              <w:kern w:val="2"/>
            </w:rPr>
            <w:t>n.79 del 27-06-2025, pubblicato sulla G.U. n. 48 del 14 luglio 2025</w:t>
          </w: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>, saranno destinate prioritariamente alla copertura del fabbisogno dei richiedenti con ISEE rientrante nella prima Fascia (ISEE fino ad € 10.633,00)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>Agli studenti collocati nella seconda fascia (ISEE da € 10.633,01 ad € 13.300,00) saranno destinate le risorse finanziarie che residueranno dopo la copertura del fabbisogno dei richiedenti collocati nella prima fascia.</w:t>
          </w:r>
        </w:p>
        <w:p>
          <w:pPr>
            <w:pStyle w:val="Normal"/>
            <w:suppressAutoHyphens w:val="true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540" w:hanging="540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  <w:t>DOMANDA DI AMMISSIONE</w:t>
          </w:r>
        </w:p>
        <w:p>
          <w:pPr>
            <w:pStyle w:val="Normal"/>
            <w:suppressAutoHyphens w:val="true"/>
            <w:spacing w:lineRule="auto" w:line="240" w:before="0" w:after="0"/>
            <w:ind w:left="540" w:hanging="540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 xml:space="preserve">La richiesta del beneficio deve essere presentata da uno dei genitori </w:t>
          </w:r>
          <w:r>
            <w:rPr>
              <w:rFonts w:eastAsia="Times New Roman" w:cs="Times New Roman" w:ascii="Arial Narrow" w:hAnsi="Arial Narrow"/>
              <w:sz w:val="24"/>
              <w:szCs w:val="24"/>
              <w:lang w:eastAsia="ar-SA"/>
            </w:rPr>
            <w:t xml:space="preserve">o chi </w:t>
          </w: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 xml:space="preserve">esercita la patria potestà o lo studente se maggiorenne. 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b/>
              <w:b/>
              <w:i/>
              <w:i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 xml:space="preserve">La domanda deve essere compilata utilizzando l’apposito modello </w:t>
          </w:r>
          <w:r>
            <w:rPr>
              <w:rFonts w:eastAsia="Times New Roman" w:cs="Times New Roman" w:ascii="Times New Roman" w:hAnsi="Times New Roman"/>
              <w:b/>
              <w:lang w:eastAsia="ar-SA"/>
            </w:rPr>
            <w:t>(ALL.A)</w:t>
          </w:r>
          <w:r>
            <w:rPr>
              <w:rFonts w:eastAsia="Times New Roman" w:cs="Times New Roman" w:ascii="Times New Roman" w:hAnsi="Times New Roman"/>
              <w:lang w:eastAsia="ar-SA"/>
            </w:rPr>
            <w:t xml:space="preserve"> completo già dell’attestazione d’iscrizione per l’A.S. 2025/2026 rilasciata dalla scuola, pena l’esclusione dal beneficio. 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  <w:t>DOCUMENTAZIONE DA ALLEGARE ALLA DOMANDA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540" w:hanging="540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>Alla domanda deve essere allegata:</w:t>
          </w:r>
        </w:p>
        <w:p>
          <w:pPr>
            <w:pStyle w:val="Normal"/>
            <w:numPr>
              <w:ilvl w:val="0"/>
              <w:numId w:val="3"/>
            </w:numPr>
            <w:suppressAutoHyphens w:val="true"/>
            <w:spacing w:lineRule="auto" w:line="240" w:before="0" w:after="0"/>
            <w:jc w:val="both"/>
            <w:rPr>
              <w:rFonts w:ascii="Arial Narrow" w:hAnsi="Arial Narrow" w:eastAsia="Times New Roman" w:cs="Times New Roman"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>In caso di attestazione ISEE pari a zero, perché relativa a valori reddituali e/o patrimoniali negativi o pari a zero</w:t>
          </w:r>
          <w:r>
            <w:rPr>
              <w:rFonts w:eastAsia="Times New Roman" w:cs="Times New Roman" w:ascii="Times New Roman" w:hAnsi="Times New Roman"/>
              <w:sz w:val="24"/>
              <w:szCs w:val="24"/>
              <w:lang w:eastAsia="ar-SA"/>
            </w:rPr>
            <w:t xml:space="preserve">, il richiedente deve dichiarare, pena l’esclusione dal </w:t>
          </w:r>
          <w:r>
            <w:rPr>
              <w:rFonts w:eastAsia="Times New Roman" w:cs="Times New Roman" w:ascii="Times New Roman" w:hAnsi="Times New Roman"/>
              <w:lang w:eastAsia="ar-SA"/>
            </w:rPr>
            <w:t xml:space="preserve">beneficio, la fonte ed i mezzi da cui il nucleo familiare ha tratto sostentamento utilizzando l’apposito modello </w:t>
          </w:r>
          <w:r>
            <w:rPr>
              <w:rFonts w:eastAsia="Times New Roman" w:cs="Times New Roman" w:ascii="Times New Roman" w:hAnsi="Times New Roman"/>
              <w:b/>
              <w:lang w:eastAsia="ar-SA"/>
            </w:rPr>
            <w:t>(ALL.B)</w:t>
          </w:r>
          <w:r>
            <w:rPr>
              <w:rFonts w:eastAsia="Times New Roman" w:cs="Times New Roman" w:ascii="Times New Roman" w:hAnsi="Times New Roman"/>
              <w:lang w:eastAsia="ar-SA"/>
            </w:rPr>
            <w:t xml:space="preserve"> </w:t>
          </w:r>
        </w:p>
        <w:p>
          <w:pPr>
            <w:pStyle w:val="Normal"/>
            <w:numPr>
              <w:ilvl w:val="0"/>
              <w:numId w:val="1"/>
            </w:numPr>
            <w:suppressAutoHyphens w:val="true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>Copia del documento di identità del richiedente in corso di validità</w:t>
          </w:r>
        </w:p>
        <w:p>
          <w:pPr>
            <w:pStyle w:val="Normal"/>
            <w:numPr>
              <w:ilvl w:val="0"/>
              <w:numId w:val="1"/>
            </w:numPr>
            <w:suppressAutoHyphens w:val="true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>Copia C.F. del richiedente</w:t>
          </w:r>
        </w:p>
        <w:p>
          <w:pPr>
            <w:pStyle w:val="Normal"/>
            <w:numPr>
              <w:ilvl w:val="0"/>
              <w:numId w:val="1"/>
            </w:numPr>
            <w:suppressAutoHyphens w:val="true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>Informativa privacy</w:t>
          </w:r>
          <w:r>
            <w:rPr>
              <w:rFonts w:eastAsia="Times New Roman" w:cs="Times New Roman" w:ascii="Times New Roman" w:hAnsi="Times New Roman"/>
              <w:b/>
              <w:lang w:eastAsia="ar-SA"/>
            </w:rPr>
            <w:t xml:space="preserve">, </w:t>
          </w:r>
          <w:r>
            <w:rPr>
              <w:rFonts w:eastAsia="Times New Roman" w:cs="Times New Roman" w:ascii="Times New Roman" w:hAnsi="Times New Roman"/>
              <w:lang w:eastAsia="ar-SA"/>
            </w:rPr>
            <w:t>parte integrante della domanda</w:t>
          </w:r>
        </w:p>
        <w:p>
          <w:pPr>
            <w:pStyle w:val="Normal"/>
            <w:suppressAutoHyphens w:val="true"/>
            <w:spacing w:lineRule="auto" w:line="240" w:before="0" w:after="0"/>
            <w:ind w:left="720" w:hanging="0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color w:val="000000"/>
              <w:lang w:eastAsia="ar-SA"/>
            </w:rPr>
          </w:pPr>
          <w:r>
            <w:rPr>
              <w:rFonts w:eastAsia="Times New Roman" w:cs="Times New Roman" w:ascii="Times New Roman" w:hAnsi="Times New Roman"/>
              <w:color w:val="000000"/>
              <w:lang w:eastAsia="ar-SA"/>
            </w:rPr>
            <w:t xml:space="preserve">Il presente avviso ed i relativi allegati sono integralmente disponibili sul sito istituzionale del Comune di Cervinara </w:t>
          </w:r>
          <w:hyperlink r:id="rId5">
            <w:r>
              <w:rPr>
                <w:rFonts w:eastAsia="Times New Roman" w:cs="Times New Roman" w:ascii="Times New Roman" w:hAnsi="Times New Roman"/>
                <w:color w:val="000000"/>
                <w:lang w:eastAsia="ar-SA"/>
              </w:rPr>
              <w:t>www.comune.cervinara.av.it</w:t>
            </w:r>
          </w:hyperlink>
          <w:r>
            <w:rPr>
              <w:rFonts w:eastAsia="Times New Roman" w:cs="Times New Roman" w:ascii="Times New Roman" w:hAnsi="Times New Roman"/>
              <w:color w:val="000000"/>
              <w:lang w:eastAsia="ar-SA"/>
            </w:rPr>
            <w:t xml:space="preserve">., nella sezione Amministrazione trasparente </w:t>
          </w:r>
        </w:p>
        <w:p>
          <w:pPr>
            <w:pStyle w:val="Normal"/>
            <w:suppressAutoHyphens w:val="true"/>
            <w:spacing w:lineRule="auto" w:line="240" w:before="0" w:after="0"/>
            <w:ind w:left="540" w:hanging="540"/>
            <w:jc w:val="both"/>
            <w:rPr>
              <w:rFonts w:ascii="Times New Roman" w:hAnsi="Times New Roman" w:eastAsia="Times New Roman" w:cs="Times New Roman"/>
              <w:color w:val="000000"/>
              <w:lang w:eastAsia="ar-SA"/>
            </w:rPr>
          </w:pPr>
          <w:r>
            <w:rPr>
              <w:rFonts w:eastAsia="Times New Roman" w:cs="Times New Roman" w:ascii="Times New Roman" w:hAnsi="Times New Roman"/>
              <w:color w:val="000000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540" w:hanging="540"/>
            <w:jc w:val="center"/>
            <w:rPr>
              <w:rFonts w:ascii="Times New Roman" w:hAnsi="Times New Roman" w:eastAsia="Times New Roman" w:cs="Times New Roman"/>
              <w:b/>
              <w:b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u w:val="single"/>
              <w:lang w:eastAsia="ar-SA"/>
            </w:rPr>
            <w:t>SCADENZA</w:t>
          </w:r>
        </w:p>
        <w:p>
          <w:pPr>
            <w:pStyle w:val="Normal"/>
            <w:suppressAutoHyphens w:val="true"/>
            <w:spacing w:lineRule="auto" w:line="240" w:before="0" w:after="0"/>
            <w:ind w:left="540" w:hanging="540"/>
            <w:jc w:val="center"/>
            <w:rPr>
              <w:rFonts w:ascii="Times New Roman" w:hAnsi="Times New Roman" w:eastAsia="Times New Roman" w:cs="Times New Roman"/>
              <w:b/>
              <w:b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  <w:t xml:space="preserve">La domanda, corredata dalla relativa documentazione, deve essere presentata e consegnata all’ufficio pubblica istruzione collocato presso il servizio demografico, rivolgendosi alla Sig.ra De Vito Raffaela oppure alla dott.ssa Rita Valente, </w:t>
          </w:r>
          <w:r>
            <w:rPr>
              <w:rFonts w:eastAsia="Times New Roman" w:cs="Times New Roman" w:ascii="Times New Roman" w:hAnsi="Times New Roman"/>
              <w:highlight w:val="yellow"/>
              <w:lang w:eastAsia="ar-SA"/>
            </w:rPr>
            <w:t>entro le ore 12:00 di mercoledì 10 settembre 2025</w:t>
          </w:r>
          <w:r>
            <w:rPr>
              <w:rFonts w:eastAsia="Times New Roman" w:cs="Times New Roman" w:ascii="Times New Roman" w:hAnsi="Times New Roman"/>
              <w:lang w:eastAsia="ar-SA"/>
            </w:rPr>
            <w:t xml:space="preserve">, fa fede il timbro posto dall’ufficio con data e ora di avvenuta consegna mentre per l’eventuale invio sulla pec </w:t>
          </w:r>
          <w:r>
            <w:rPr/>
            <w:t>ufficioprotocollo.cervinara@asmepec.it</w:t>
          </w:r>
          <w:r>
            <w:rPr>
              <w:rFonts w:eastAsia="Times New Roman" w:cs="Times New Roman" w:ascii="Times New Roman" w:hAnsi="Times New Roman"/>
              <w:lang w:eastAsia="ar-SA"/>
            </w:rPr>
            <w:t xml:space="preserve"> del Comune, fa fede la data e l’ora di consegna alla casella di posta elettronica. 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Times New Roman" w:hAnsi="Times New Roman" w:eastAsia="Times New Roman" w:cs="Times New Roman"/>
              <w:b/>
              <w:b/>
              <w:i/>
              <w:i/>
              <w:sz w:val="24"/>
              <w:szCs w:val="24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i/>
              <w:sz w:val="24"/>
              <w:szCs w:val="24"/>
              <w:lang w:eastAsia="ar-SA"/>
            </w:rPr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it-IT"/>
            </w:rPr>
            <w:t>L’Ufficio Pubblica Istruzione procederà alla successiva istruttoria di competenza</w:t>
          </w:r>
          <w:r>
            <w:rPr>
              <w:rFonts w:eastAsia="Times New Roman" w:cs="Times New Roman" w:ascii="Times New Roman" w:hAnsi="Times New Roman"/>
              <w:sz w:val="21"/>
              <w:szCs w:val="21"/>
              <w:lang w:eastAsia="it-IT"/>
            </w:rPr>
            <w:t xml:space="preserve"> </w:t>
          </w:r>
          <w:r>
            <w:rPr>
              <w:rFonts w:eastAsia="Times New Roman" w:cs="Times New Roman" w:ascii="Times New Roman" w:hAnsi="Times New Roman"/>
              <w:lang w:eastAsia="ar-SA"/>
            </w:rPr>
            <w:t>e alla formulazione della relativa graduatoria.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center"/>
            <w:rPr>
              <w:rFonts w:ascii="Times New Roman" w:hAnsi="Times New Roman" w:eastAsia="Times New Roman" w:cs="Times New Roman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center"/>
            <w:rPr>
              <w:rFonts w:ascii="Times New Roman" w:hAnsi="Times New Roman" w:eastAsia="Times New Roman" w:cs="Times New Roman"/>
              <w:b/>
              <w:b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u w:val="single"/>
              <w:lang w:eastAsia="ar-SA"/>
            </w:rPr>
            <w:t>CONTRIBUTO</w:t>
          </w:r>
        </w:p>
        <w:p>
          <w:pPr>
            <w:pStyle w:val="Normal"/>
            <w:suppressAutoHyphens w:val="true"/>
            <w:spacing w:lineRule="auto" w:line="240" w:before="0" w:after="0"/>
            <w:ind w:left="15" w:hanging="15"/>
            <w:jc w:val="both"/>
            <w:rPr>
              <w:rFonts w:ascii="Arial Narrow" w:hAnsi="Arial Narrow" w:eastAsia="Times New Roman" w:cs="Times New Roman"/>
              <w:lang w:eastAsia="ar-SA"/>
            </w:rPr>
          </w:pPr>
          <w:r>
            <w:rPr>
              <w:rFonts w:eastAsia="Times New Roman" w:cs="Times New Roman" w:ascii="Arial Narrow" w:hAnsi="Arial Narrow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>Il contributo sarà concesso sotto forma di cedola libraria o voucher per le spese inerenti all’acquisto dei libri di testo e contenuti didattici alternativi scelti dalla scuola frequentata per l’A.S. 2025/2026.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>Il Comune, tenuto conto dei fondi stanziati dalla Regione Campania e delle domande accolte, determinerà, per le diverse classi di frequenza, il valore della cedola libraria o voucher graduandolo in relazione alla fascia di appartenenza ISEE.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>La misura massima del beneficio erogabile è determinata dal costo della dotazione dei testi della classe frequentata come previsto dalla nota del Miur prot. 5571 del 29/03/2018 e ai sensi del Decreto Ministeriale Miur n. 781/2013.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lang w:eastAsia="ar-SA"/>
            </w:rPr>
          </w:pPr>
          <w:r>
            <w:rPr>
              <w:rFonts w:eastAsia="Arial Unicode MS" w:cs="Times New Roman" w:ascii="Times New Roman" w:hAnsi="Times New Roman"/>
              <w:lang w:eastAsia="ar-SA"/>
            </w:rPr>
            <w:t>Le</w:t>
          </w: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 xml:space="preserve"> cedole librarie o voucher sono consegnate direttamente dal Comune agli aventi diritto che avranno cura di ritirarle, presso l’ufficio pubblica istruzione, dopo la pubblicazione della graduatoria e sono spendibili esclusivamente presso le librerie che accettano il successivo pagamento dietro regolare presentazione di regolare fattura elettronica allegando copia delle cedole librarie;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  <w:t>CONTROLLI</w:t>
          </w:r>
        </w:p>
        <w:p>
          <w:pPr>
            <w:pStyle w:val="Normal"/>
            <w:suppressAutoHyphens w:val="true"/>
            <w:spacing w:lineRule="auto" w:line="240" w:before="0" w:after="0"/>
            <w:ind w:left="540" w:hanging="540"/>
            <w:jc w:val="center"/>
            <w:rPr>
              <w:rFonts w:ascii="Times New Roman" w:hAnsi="Times New Roman" w:eastAsia="Times New Roman" w:cs="Times New Roman"/>
              <w:b/>
              <w:b/>
              <w:sz w:val="24"/>
              <w:szCs w:val="24"/>
              <w:u w:val="single"/>
              <w:lang w:eastAsia="ar-SA"/>
            </w:rPr>
          </w:pPr>
          <w:r>
            <w:rPr>
              <w:rFonts w:eastAsia="Times New Roman" w:cs="Times New Roman" w:ascii="Times New Roman" w:hAnsi="Times New Roman"/>
              <w:b/>
              <w:sz w:val="24"/>
              <w:szCs w:val="24"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lang w:eastAsia="ar-SA"/>
            </w:rPr>
          </w:pPr>
          <w:r>
            <w:rPr>
              <w:rFonts w:eastAsia="Arial Unicode MS" w:cs="Times New Roman" w:ascii="Times New Roman" w:hAnsi="Times New Roman"/>
              <w:lang w:eastAsia="ar-SA"/>
            </w:rPr>
            <w:t>Le domande presentate saranno sottoposte a controlli sulla veridicità delle dichiarazioni rese ai sensi del DPR 445/2000.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  <w:t>AVVERTENZE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 w:cs="Times New Roman"/>
              <w:b/>
              <w:b/>
              <w:u w:val="single"/>
              <w:lang w:eastAsia="x-none"/>
            </w:rPr>
          </w:pPr>
          <w:r>
            <w:rPr>
              <w:rFonts w:eastAsia="Times New Roman" w:cs="Times New Roman" w:ascii="Times New Roman" w:hAnsi="Times New Roman"/>
              <w:color w:val="000000"/>
              <w:lang w:val="x-none" w:eastAsia="x-none"/>
            </w:rPr>
            <w:t>Il Comune di Cervinara. si riserva la facoltà di modificare, prorogare ed eventualmente revocare il presente avviso  in relazione a eventuali nuove disposizioni normative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lang w:eastAsia="ar-SA"/>
            </w:rPr>
          </w:pPr>
          <w:r>
            <w:rPr>
              <w:rFonts w:eastAsia="Arial Unicode MS" w:cs="Times New Roman" w:ascii="Times New Roman" w:hAnsi="Times New Roman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  <w:t>TUTELA DELLA PRIVACY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 xml:space="preserve">Tutti i dati personali trasmessi dai richiedenti con la domanda di accesso al contributo in parola, ai sensi del Regolamento Europeo n. 679/2016 e del D.lgs. n. 196 del 30.06.2003 e ss.mm. ii, saranno 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>trattati in modalità cartacea e/o informatica esclusivamente per le finalità di gestione della presente procedura.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/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>Il titolare del trattamento dei dati personali è il Comune di Cervinara sito in P.zza Trescine I.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>Il Responsabile della protezione dei dati personali è il dott. Castaldi Nunzio - e-mail: nunziocastaldi@hotmail.com PEC: weben@pec.it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  <w:t>INFORMAZIONI E PUBBLICITA’</w:t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center"/>
            <w:rPr>
              <w:rFonts w:ascii="Times New Roman" w:hAnsi="Times New Roman" w:eastAsia="Arial Unicode MS" w:cs="Times New Roman"/>
              <w:b/>
              <w:b/>
              <w:u w:val="single"/>
              <w:lang w:eastAsia="ar-SA"/>
            </w:rPr>
          </w:pPr>
          <w:r>
            <w:rPr>
              <w:rFonts w:eastAsia="Arial Unicode MS" w:cs="Times New Roman" w:ascii="Times New Roman" w:hAnsi="Times New Roman"/>
              <w:b/>
              <w:u w:val="single"/>
              <w:lang w:eastAsia="ar-SA"/>
            </w:rPr>
          </w:r>
        </w:p>
        <w:p>
          <w:pPr>
            <w:pStyle w:val="Normal"/>
            <w:suppressAutoHyphens w:val="true"/>
            <w:spacing w:lineRule="auto" w:line="240" w:before="0" w:after="0"/>
            <w:ind w:right="28" w:hanging="0"/>
            <w:jc w:val="both"/>
            <w:rPr>
              <w:rFonts w:ascii="Arial Unicode MS" w:hAnsi="Arial Unicode MS" w:eastAsia="Arial Unicode MS" w:cs="Arial Unicode MS"/>
              <w:sz w:val="24"/>
              <w:szCs w:val="24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 xml:space="preserve">Per eventuali informazioni relative al presente Avviso è possibile rivolgersi all’ufficio pubblica istruzione presso il Settore demografico nei giorni dal lunedì al venerdì, dalle ore 9:00 alle ore 12:00 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u w:val="single"/>
              <w:lang w:val="x-none" w:eastAsia="x-none"/>
            </w:rPr>
          </w:pPr>
          <w:r>
            <w:rPr>
              <w:rFonts w:eastAsia="Times New Roman" w:cs="Times New Roman" w:ascii="Times New Roman" w:hAnsi="Times New Roman"/>
              <w:b/>
              <w:u w:val="single"/>
              <w:lang w:val="x-none" w:eastAsia="x-none"/>
            </w:rPr>
          </w:r>
        </w:p>
        <w:p>
          <w:pPr>
            <w:pStyle w:val="Normal"/>
            <w:spacing w:lineRule="auto" w:line="240" w:before="0" w:after="0"/>
            <w:jc w:val="right"/>
            <w:rPr>
              <w:rFonts w:ascii="Times New Roman" w:hAnsi="Times New Roman" w:eastAsia="Times New Roman" w:cs="Times New Roman"/>
              <w:sz w:val="20"/>
              <w:szCs w:val="20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it-IT"/>
            </w:rPr>
            <w:t xml:space="preserve">    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u w:val="single"/>
              <w:lang w:val="x-none" w:eastAsia="x-none"/>
            </w:rPr>
          </w:pPr>
          <w:r>
            <w:rPr>
              <w:rFonts w:eastAsia="Times New Roman" w:cs="Times New Roman" w:ascii="Times New Roman" w:hAnsi="Times New Roman"/>
              <w:b/>
              <w:u w:val="single"/>
              <w:lang w:val="x-none" w:eastAsia="x-none"/>
            </w:rPr>
            <w:t>RESPONSABILE DEL PROCEDIMENTO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/>
              <w:u w:val="single"/>
              <w:lang w:val="x-none" w:eastAsia="x-none"/>
            </w:rPr>
          </w:pPr>
          <w:r>
            <w:rPr>
              <w:rFonts w:eastAsia="Times New Roman" w:cs="Times New Roman" w:ascii="Times New Roman" w:hAnsi="Times New Roman"/>
              <w:b/>
              <w:u w:val="single"/>
              <w:lang w:val="x-none" w:eastAsia="x-none"/>
            </w:rPr>
          </w:r>
        </w:p>
        <w:p>
          <w:pPr>
            <w:pStyle w:val="NoSpacing"/>
            <w:tabs>
              <w:tab w:val="clear" w:pos="708"/>
              <w:tab w:val="left" w:pos="1860" w:leader="none"/>
            </w:tabs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Times New Roman" w:cs="Times New Roman" w:ascii="Times New Roman" w:hAnsi="Times New Roman"/>
              <w:lang w:eastAsia="it-IT"/>
            </w:rPr>
            <w:t xml:space="preserve">Ai sensi della L.241/90 e s.m.i.  il Responsabile del procedimento è </w:t>
          </w: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>la dott.ssa Marino Grazia</w:t>
          </w:r>
        </w:p>
        <w:p>
          <w:pPr>
            <w:pStyle w:val="NoSpacing"/>
            <w:tabs>
              <w:tab w:val="clear" w:pos="708"/>
              <w:tab w:val="left" w:pos="1860" w:leader="none"/>
            </w:tabs>
            <w:rPr>
              <w:rFonts w:ascii="Times New Roman" w:hAnsi="Times New Roman" w:eastAsia="Arial Unicode MS" w:cs="Times New Roman"/>
              <w:color w:val="000000"/>
              <w:lang w:eastAsia="ar-SA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</w:r>
        </w:p>
        <w:p>
          <w:pPr>
            <w:pStyle w:val="NoSpacing"/>
            <w:tabs>
              <w:tab w:val="clear" w:pos="708"/>
              <w:tab w:val="left" w:pos="1860" w:leader="none"/>
            </w:tabs>
            <w:rPr>
              <w:rFonts w:ascii="Times New Roman" w:hAnsi="Times New Roman" w:eastAsia="" w:cs="Times New Roman" w:eastAsiaTheme="majorEastAsia"/>
              <w:sz w:val="16"/>
              <w:szCs w:val="16"/>
            </w:rPr>
          </w:pPr>
          <w:r>
            <w:rPr>
              <w:rFonts w:eastAsia="Arial Unicode MS" w:cs="Times New Roman" w:ascii="Times New Roman" w:hAnsi="Times New Roman"/>
              <w:color w:val="000000"/>
              <w:lang w:eastAsia="ar-SA"/>
            </w:rPr>
            <w:t>L’ufficio pubblica istruzione nella persona della Sig.ra De Vito Raffaela e del responsabile settore Dott.ssa Rita Valente è a disposizione per qualunque informazione in merito al bando</w:t>
            <w:tab/>
            <w:tab/>
            <w:tab/>
            <w:tab/>
            <w:tab/>
          </w:r>
        </w:p>
        <w:p>
          <w:pPr>
            <w:pStyle w:val="NoSpacing"/>
            <w:tabs>
              <w:tab w:val="clear" w:pos="708"/>
              <w:tab w:val="left" w:pos="1860" w:leader="none"/>
            </w:tabs>
            <w:jc w:val="center"/>
            <w:rPr>
              <w:rFonts w:ascii="Times New Roman" w:hAnsi="Times New Roman" w:eastAsia="" w:cs="Times New Roman" w:eastAsiaTheme="majorEastAsia"/>
              <w:sz w:val="16"/>
              <w:szCs w:val="16"/>
            </w:rPr>
          </w:pPr>
          <w:r>
            <w:rPr>
              <w:rFonts w:eastAsia="" w:cs="Times New Roman" w:eastAsiaTheme="majorEastAsia" w:ascii="Times New Roman" w:hAnsi="Times New Roman"/>
              <w:sz w:val="16"/>
              <w:szCs w:val="16"/>
            </w:rPr>
          </w:r>
        </w:p>
        <w:p>
          <w:pPr>
            <w:pStyle w:val="NoSpacing"/>
            <w:tabs>
              <w:tab w:val="clear" w:pos="708"/>
              <w:tab w:val="left" w:pos="1860" w:leader="none"/>
            </w:tabs>
            <w:jc w:val="center"/>
            <w:rPr>
              <w:rFonts w:ascii="Times New Roman" w:hAnsi="Times New Roman" w:eastAsia="" w:cs="Times New Roman" w:eastAsiaTheme="majorEastAsia"/>
              <w:sz w:val="24"/>
              <w:szCs w:val="24"/>
            </w:rPr>
          </w:pPr>
          <w:r>
            <w:rPr>
              <w:rFonts w:eastAsia="" w:cs="Times New Roman" w:eastAsiaTheme="majorEastAsia" w:ascii="Times New Roman" w:hAnsi="Times New Roman"/>
              <w:sz w:val="24"/>
              <w:szCs w:val="24"/>
            </w:rPr>
          </w:r>
        </w:p>
        <w:p>
          <w:pPr>
            <w:pStyle w:val="NoSpacing"/>
            <w:tabs>
              <w:tab w:val="clear" w:pos="708"/>
              <w:tab w:val="left" w:pos="1860" w:leader="none"/>
            </w:tabs>
            <w:rPr>
              <w:rFonts w:ascii="Times New Roman" w:hAnsi="Times New Roman" w:eastAsia="" w:cs="Times New Roman" w:eastAsiaTheme="majorEastAsia"/>
              <w:sz w:val="24"/>
              <w:szCs w:val="24"/>
            </w:rPr>
          </w:pPr>
          <w:r>
            <w:rPr>
              <w:rFonts w:eastAsia="" w:cs="Times New Roman" w:eastAsiaTheme="majorEastAsia" w:ascii="Times New Roman" w:hAnsi="Times New Roman"/>
              <w:sz w:val="24"/>
              <w:szCs w:val="24"/>
            </w:rPr>
          </w:r>
        </w:p>
      </w:sdtContent>
    </w:sdt>
    <w:tbl>
      <w:tblPr>
        <w:tblStyle w:val="Grigliatabella"/>
        <w:tblW w:w="90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535"/>
      </w:tblGrid>
      <w:tr>
        <w:trPr/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tabs>
                <w:tab w:val="clear" w:pos="708"/>
                <w:tab w:val="left" w:pos="1860" w:leader="none"/>
              </w:tabs>
              <w:spacing w:before="0" w:after="0"/>
              <w:jc w:val="center"/>
              <w:rPr>
                <w:rFonts w:ascii="Times New Roman" w:hAnsi="Times New Roman" w:eastAsia="" w:cs="Times New Roman" w:eastAsiaTheme="majorEastAsia"/>
                <w:b/>
                <w:b/>
                <w:bCs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ajorEastAsia"/>
                <w:b/>
                <w:bCs/>
                <w:kern w:val="0"/>
                <w:sz w:val="16"/>
                <w:szCs w:val="16"/>
                <w:lang w:val="it-IT" w:eastAsia="en-US" w:bidi="ar-SA"/>
              </w:rPr>
              <w:t>Responsabile del procedimento</w:t>
            </w:r>
          </w:p>
          <w:p>
            <w:pPr>
              <w:pStyle w:val="NoSpacing"/>
              <w:widowControl/>
              <w:tabs>
                <w:tab w:val="clear" w:pos="708"/>
                <w:tab w:val="left" w:pos="1860" w:leader="none"/>
              </w:tabs>
              <w:spacing w:before="0" w:after="0"/>
              <w:jc w:val="center"/>
              <w:rPr>
                <w:rFonts w:ascii="Times New Roman" w:hAnsi="Times New Roman" w:eastAsia="" w:cs="Times New Roman" w:eastAsiaTheme="majorEastAsia"/>
                <w:b/>
                <w:b/>
                <w:bCs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ajorEastAsia"/>
                <w:b/>
                <w:bCs/>
                <w:kern w:val="0"/>
                <w:sz w:val="16"/>
                <w:szCs w:val="16"/>
                <w:lang w:val="it-IT" w:eastAsia="en-US" w:bidi="ar-SA"/>
              </w:rPr>
              <w:t>dott.ssa Grazia Marino</w:t>
            </w:r>
          </w:p>
          <w:p>
            <w:pPr>
              <w:pStyle w:val="NoSpacing"/>
              <w:widowControl/>
              <w:tabs>
                <w:tab w:val="clear" w:pos="708"/>
                <w:tab w:val="left" w:pos="1860" w:leader="none"/>
              </w:tabs>
              <w:spacing w:before="0" w:after="0"/>
              <w:jc w:val="center"/>
              <w:rPr>
                <w:rFonts w:ascii="Times New Roman" w:hAnsi="Times New Roman" w:eastAsia="" w:cs="Times New Roman" w:eastAsiaTheme="majorEastAsia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ajorEastAsia"/>
                <w:kern w:val="0"/>
                <w:sz w:val="16"/>
                <w:szCs w:val="16"/>
                <w:lang w:val="it-IT" w:eastAsia="en-US" w:bidi="ar-SA"/>
              </w:rPr>
              <w:t>Documento firmato digitalmente ai sensi del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eastAsia="" w:cs="Times New Roman" w:eastAsiaTheme="majorEastAsia"/>
                <w:sz w:val="24"/>
                <w:szCs w:val="24"/>
                <w:lang w:eastAsia="it-IT"/>
              </w:rPr>
            </w:pPr>
            <w:r>
              <w:rPr>
                <w:rFonts w:eastAsia="" w:cs="Times New Roman" w:ascii="Times New Roman" w:hAnsi="Times New Roman" w:eastAsiaTheme="majorEastAsia"/>
                <w:b/>
                <w:bCs/>
                <w:kern w:val="0"/>
                <w:sz w:val="16"/>
                <w:szCs w:val="16"/>
                <w:lang w:val="it-IT" w:eastAsia="en-US" w:bidi="ar-SA"/>
              </w:rPr>
              <w:t>D. Lgs. n. 82/2005</w:t>
            </w:r>
            <w:r>
              <w:rPr>
                <w:rFonts w:eastAsia="" w:cs="Times New Roman" w:ascii="Times New Roman" w:hAnsi="Times New Roman" w:eastAsiaTheme="majorEastAsia"/>
                <w:kern w:val="0"/>
                <w:sz w:val="16"/>
                <w:szCs w:val="16"/>
                <w:lang w:val="it-IT" w:eastAsia="en-US" w:bidi="ar-SA"/>
              </w:rPr>
              <w:t xml:space="preserve"> e s.m.i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tabs>
                <w:tab w:val="clear" w:pos="708"/>
                <w:tab w:val="left" w:pos="1860" w:leader="none"/>
              </w:tabs>
              <w:spacing w:before="0" w:after="0"/>
              <w:jc w:val="center"/>
              <w:rPr>
                <w:rFonts w:ascii="Times New Roman" w:hAnsi="Times New Roman" w:eastAsia="" w:cs="Times New Roman" w:eastAsiaTheme="majorEastAsia"/>
                <w:b/>
                <w:b/>
                <w:bCs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ajorEastAsia"/>
                <w:b/>
                <w:bCs/>
                <w:kern w:val="0"/>
                <w:sz w:val="16"/>
                <w:szCs w:val="16"/>
                <w:lang w:val="it-IT" w:eastAsia="en-US" w:bidi="ar-SA"/>
              </w:rPr>
              <w:t>Responsabile del Settore</w:t>
            </w:r>
          </w:p>
          <w:p>
            <w:pPr>
              <w:pStyle w:val="NoSpacing"/>
              <w:widowControl/>
              <w:tabs>
                <w:tab w:val="clear" w:pos="708"/>
                <w:tab w:val="left" w:pos="1860" w:leader="none"/>
              </w:tabs>
              <w:spacing w:before="0" w:after="0"/>
              <w:jc w:val="center"/>
              <w:rPr>
                <w:rFonts w:ascii="Times New Roman" w:hAnsi="Times New Roman" w:eastAsia="" w:cs="Times New Roman" w:eastAsiaTheme="majorEastAsia"/>
                <w:b/>
                <w:b/>
                <w:bCs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ajorEastAsia"/>
                <w:b/>
                <w:bCs/>
                <w:kern w:val="0"/>
                <w:sz w:val="16"/>
                <w:szCs w:val="16"/>
                <w:lang w:val="it-IT" w:eastAsia="en-US" w:bidi="ar-SA"/>
              </w:rPr>
              <w:t>dott.ssa Rita Valente</w:t>
            </w:r>
          </w:p>
          <w:p>
            <w:pPr>
              <w:pStyle w:val="NoSpacing"/>
              <w:widowControl/>
              <w:tabs>
                <w:tab w:val="clear" w:pos="708"/>
                <w:tab w:val="left" w:pos="1860" w:leader="none"/>
              </w:tabs>
              <w:spacing w:before="0" w:after="0"/>
              <w:jc w:val="center"/>
              <w:rPr>
                <w:rFonts w:ascii="Times New Roman" w:hAnsi="Times New Roman" w:eastAsia="" w:cs="Times New Roman" w:eastAsiaTheme="majorEastAsia"/>
                <w:sz w:val="16"/>
                <w:szCs w:val="16"/>
              </w:rPr>
            </w:pPr>
            <w:r>
              <w:rPr>
                <w:rFonts w:eastAsia="" w:cs="Times New Roman" w:ascii="Times New Roman" w:hAnsi="Times New Roman" w:eastAsiaTheme="majorEastAsia"/>
                <w:kern w:val="0"/>
                <w:sz w:val="16"/>
                <w:szCs w:val="16"/>
                <w:lang w:val="it-IT" w:eastAsia="en-US" w:bidi="ar-SA"/>
              </w:rPr>
              <w:t>Documento firmato digitalmente ai sensi del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eastAsia="" w:cs="Times New Roman" w:eastAsiaTheme="majorEastAsia"/>
                <w:sz w:val="24"/>
                <w:szCs w:val="24"/>
                <w:lang w:eastAsia="it-IT"/>
              </w:rPr>
            </w:pPr>
            <w:r>
              <w:rPr>
                <w:rFonts w:eastAsia="" w:cs="Times New Roman" w:ascii="Times New Roman" w:hAnsi="Times New Roman" w:eastAsiaTheme="majorEastAsia"/>
                <w:b/>
                <w:bCs/>
                <w:kern w:val="0"/>
                <w:sz w:val="16"/>
                <w:szCs w:val="16"/>
                <w:lang w:val="it-IT" w:eastAsia="en-US" w:bidi="ar-SA"/>
              </w:rPr>
              <w:t>D. Lgs. n. 82/2005</w:t>
            </w:r>
            <w:r>
              <w:rPr>
                <w:rFonts w:eastAsia="" w:cs="Times New Roman" w:ascii="Times New Roman" w:hAnsi="Times New Roman" w:eastAsiaTheme="majorEastAsia"/>
                <w:kern w:val="0"/>
                <w:sz w:val="16"/>
                <w:szCs w:val="16"/>
                <w:lang w:val="it-IT" w:eastAsia="en-US" w:bidi="ar-SA"/>
              </w:rPr>
              <w:t xml:space="preserve"> e s.m.i</w:t>
            </w:r>
            <w:bookmarkStart w:id="0" w:name="_Hlk204010851"/>
            <w:bookmarkEnd w:id="0"/>
          </w:p>
        </w:tc>
      </w:tr>
    </w:tbl>
    <w:p>
      <w:pPr>
        <w:pStyle w:val="NoSpacing"/>
        <w:rPr>
          <w:rFonts w:ascii="Times New Roman" w:hAnsi="Times New Roman" w:eastAsia="" w:cs="Times New Roman" w:eastAsiaTheme="majorEastAsia"/>
          <w:sz w:val="24"/>
          <w:szCs w:val="24"/>
          <w:lang w:eastAsia="it-IT"/>
        </w:rPr>
      </w:pPr>
      <w:r>
        <w:rPr>
          <w:rFonts w:eastAsia="" w:cs="Times New Roman" w:eastAsiaTheme="majorEastAsia" w:ascii="Times New Roman" w:hAnsi="Times New Roman"/>
          <w:sz w:val="24"/>
          <w:szCs w:val="24"/>
          <w:lang w:eastAsia="it-IT"/>
        </w:rPr>
      </w:r>
    </w:p>
    <w:p>
      <w:pPr>
        <w:pStyle w:val="NoSpacing"/>
        <w:rPr>
          <w:rFonts w:ascii="Times New Roman" w:hAnsi="Times New Roman" w:eastAsia="" w:cs="Times New Roman" w:eastAsiaTheme="majorEastAsia"/>
          <w:sz w:val="24"/>
          <w:szCs w:val="24"/>
          <w:lang w:eastAsia="it-IT"/>
        </w:rPr>
      </w:pPr>
      <w:r>
        <w:rPr>
          <w:rFonts w:eastAsia="" w:cs="Times New Roman" w:eastAsiaTheme="majorEastAsia" w:ascii="Times New Roman" w:hAnsi="Times New Roman"/>
          <w:sz w:val="24"/>
          <w:szCs w:val="24"/>
          <w:lang w:eastAsia="it-IT"/>
        </w:rPr>
      </w:r>
    </w:p>
    <w:p>
      <w:pPr>
        <w:pStyle w:val="NoSpacing"/>
        <w:rPr>
          <w:rFonts w:ascii="Times New Roman" w:hAnsi="Times New Roman" w:eastAsia="" w:cs="Times New Roman" w:eastAsiaTheme="majorEastAsia"/>
          <w:sz w:val="24"/>
          <w:szCs w:val="24"/>
        </w:rPr>
      </w:pPr>
      <w:r>
        <w:rPr>
          <w:rFonts w:eastAsia="" w:cs="Times New Roman" w:eastAsiaTheme="majorEastAsia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eastAsia="" w:cs="Times New Roman" w:eastAsiaTheme="majorEastAsia"/>
          <w:sz w:val="24"/>
          <w:szCs w:val="24"/>
        </w:rPr>
      </w:pPr>
      <w:r>
        <w:rPr>
          <w:rFonts w:eastAsia="" w:cs="Times New Roman" w:eastAsiaTheme="majorEastAsia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eastAsia="" w:cs="Times New Roman" w:eastAsiaTheme="majorEastAsia"/>
          <w:sz w:val="24"/>
          <w:szCs w:val="24"/>
        </w:rPr>
      </w:pPr>
      <w:r>
        <w:rPr>
          <w:rFonts w:eastAsia="" w:cs="Times New Roman" w:eastAsiaTheme="majorEastAsia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eastAsia="" w:cs="Times New Roman" w:eastAsiaTheme="majorEastAsia"/>
          <w:sz w:val="24"/>
          <w:szCs w:val="24"/>
        </w:rPr>
      </w:pPr>
      <w:r>
        <w:rPr>
          <w:rFonts w:eastAsia="" w:cs="Times New Roman" w:eastAsiaTheme="majorEastAsia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eastAsia="" w:cs="Times New Roman" w:eastAsiaTheme="majorEastAsia"/>
          <w:sz w:val="24"/>
          <w:szCs w:val="24"/>
        </w:rPr>
      </w:pPr>
      <w:r>
        <w:rPr>
          <w:rFonts w:eastAsia="" w:cs="Times New Roman" w:eastAsiaTheme="majorEastAsia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eastAsia="" w:cs="Times New Roman" w:eastAsiaTheme="majorEastAsia"/>
          <w:sz w:val="24"/>
          <w:szCs w:val="24"/>
        </w:rPr>
      </w:pPr>
      <w:r>
        <w:rPr>
          <w:rFonts w:eastAsia="" w:cs="Times New Roman" w:eastAsiaTheme="majorEastAsia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cs="Times New Roman" w:ascii="Times New Roman" w:hAnsi="Times New Roman"/>
          <w:bCs/>
          <w:color w:val="4F81BD" w:themeColor="accent1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/>
      </w:r>
    </w:p>
    <w:sectPr>
      <w:headerReference w:type="default" r:id="rId6"/>
      <w:headerReference w:type="first" r:id="rId7"/>
      <w:footerReference w:type="default" r:id="rId8"/>
      <w:type w:val="nextPage"/>
      <w:pgSz w:w="11906" w:h="16838"/>
      <w:pgMar w:left="1701" w:right="1134" w:gutter="0" w:header="709" w:top="1134" w:footer="709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  <w:font w:name="Arial Unicode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4" wp14:anchorId="275E3879">
              <wp:simplePos x="0" y="0"/>
              <wp:positionH relativeFrom="page">
                <wp:posOffset>-113665</wp:posOffset>
              </wp:positionH>
              <wp:positionV relativeFrom="topMargin">
                <wp:posOffset>9725025</wp:posOffset>
              </wp:positionV>
              <wp:extent cx="8038465" cy="665480"/>
              <wp:effectExtent l="19050" t="19050" r="34925" b="49530"/>
              <wp:wrapNone/>
              <wp:docPr id="12" name="Rectang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6649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</wp:anchor>
          </w:drawing>
        </mc:Choice>
        <mc:Fallback>
          <w:pict>
            <v:rect id="shape_0" ID="Rectangle 9" path="m0,0l-2147483645,0l-2147483645,-2147483646l0,-2147483646xe" fillcolor="#4f81bd" stroked="t" o:allowincell="f" style="position:absolute;margin-left:-8.95pt;margin-top:765.75pt;width:632.85pt;height:52.3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</w:r>
  </w:p>
  <w:p>
    <w:pPr>
      <w:pStyle w:val="Pidipagina"/>
      <w:rPr/>
    </w:pPr>
    <w:r>
      <w:rPr/>
    </w:r>
  </w:p>
  <w:p>
    <w:pPr>
      <w:pStyle w:val="Pidipagina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75AC0DAB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085" cy="170180"/>
              <wp:effectExtent l="3810" t="0" r="0" b="2540"/>
              <wp:wrapNone/>
              <wp:docPr id="5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28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0" w:before="0" w:after="0"/>
                            <w:jc w:val="center"/>
                            <w:rPr>
                              <w:b/>
                              <w:b/>
                              <w:color w:val="1F497D" w:themeColor="text2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</w:rPr>
                          </w:r>
                        </w:p>
                      </w:txbxContent>
                    </wps:txbx>
                    <wps:bodyPr tIns="0" bIns="0" anchor="ctr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0.3pt;margin-top:21.65pt;width:453.45pt;height:13.3pt;mso-wrap-style:none;v-text-anchor:middle;mso-position-horizontal:left;mso-position-horizontal-relative:margin;mso-position-vertical:center" wp14:anchorId="75AC0DA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240" w:before="0" w:after="0"/>
                      <w:jc w:val="center"/>
                      <w:rPr>
                        <w:b/>
                        <w:b/>
                        <w:color w:val="1F497D" w:themeColor="text2"/>
                      </w:rPr>
                    </w:pPr>
                    <w:r>
                      <w:rPr>
                        <w:b/>
                        <w:color w:val="1F497D" w:themeColor="text2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 wp14:anchorId="275E3879">
              <wp:simplePos x="0" y="0"/>
              <wp:positionH relativeFrom="page">
                <wp:posOffset>-37465</wp:posOffset>
              </wp:positionH>
              <wp:positionV relativeFrom="topMargin">
                <wp:posOffset>152400</wp:posOffset>
              </wp:positionV>
              <wp:extent cx="8038465" cy="584200"/>
              <wp:effectExtent l="19050" t="19050" r="36830" b="46355"/>
              <wp:wrapNone/>
              <wp:docPr id="7" name="Rectangl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8" path="m0,0l-2147483645,0l-2147483645,-2147483646l0,-2147483646xe" fillcolor="#4f81bd" stroked="t" o:allowincell="f" style="position:absolute;margin-left:-2.95pt;margin-top:12pt;width:632.85pt;height:45.9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 wp14:anchorId="275E3879">
              <wp:simplePos x="0" y="0"/>
              <wp:positionH relativeFrom="page">
                <wp:posOffset>-116205</wp:posOffset>
              </wp:positionH>
              <wp:positionV relativeFrom="topMargin">
                <wp:posOffset>155575</wp:posOffset>
              </wp:positionV>
              <wp:extent cx="8038465" cy="584200"/>
              <wp:effectExtent l="23495" t="25400" r="32385" b="46355"/>
              <wp:wrapNone/>
              <wp:docPr id="8" name="Rectangle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11" path="m0,0l-2147483645,0l-2147483645,-2147483646l0,-2147483646xe" fillcolor="#4f81bd" stroked="t" o:allowincell="f" style="position:absolute;margin-left:-9.15pt;margin-top:12.25pt;width:632.85pt;height:45.9pt;mso-wrap-style:none;v-text-anchor:middle;mso-position-horizontal-relative:page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" wp14:anchorId="19CD3501">
              <wp:simplePos x="0" y="0"/>
              <wp:positionH relativeFrom="leftMargin">
                <wp:posOffset>485775</wp:posOffset>
              </wp:positionH>
              <wp:positionV relativeFrom="page">
                <wp:posOffset>-266700</wp:posOffset>
              </wp:positionV>
              <wp:extent cx="91440" cy="11367770"/>
              <wp:effectExtent l="9525" t="9525" r="13970" b="10160"/>
              <wp:wrapNone/>
              <wp:docPr id="9" name="Rectangle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11367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4bacc6">
                            <a:lumMod val="75000"/>
                            <a:lumOff val="0"/>
                          </a:srgbClr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V relativeFrom="page">
                <wp14:pctHeight>105000</wp14:pctHeight>
              </wp14:sizeRelV>
            </wp:anchor>
          </w:drawing>
        </mc:Choice>
        <mc:Fallback>
          <w:pict>
            <v:rect id="shape_0" ID="Rectangle 12" path="m0,0l-2147483645,0l-2147483645,-2147483646l0,-2147483646xe" fillcolor="white" stroked="t" o:allowincell="f" style="position:absolute;margin-left:38.25pt;margin-top:-21pt;width:7.1pt;height:895pt;mso-wrap-style:none;v-text-anchor:middle;mso-position-horizontal-relative:page;mso-position-vertical-relative:page" wp14:anchorId="19CD3501">
              <v:fill o:detectmouseclick="t" type="solid" color2="black"/>
              <v:stroke color="#31859c" weight="9360" joinstyle="miter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" wp14:anchorId="19CD3501">
              <wp:simplePos x="0" y="0"/>
              <wp:positionH relativeFrom="leftMargin">
                <wp:posOffset>7153275</wp:posOffset>
              </wp:positionH>
              <wp:positionV relativeFrom="page">
                <wp:posOffset>-219075</wp:posOffset>
              </wp:positionV>
              <wp:extent cx="91440" cy="11367770"/>
              <wp:effectExtent l="9525" t="9525" r="13970" b="13335"/>
              <wp:wrapNone/>
              <wp:docPr id="10" name="Rectang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11367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4bacc6">
                            <a:lumMod val="75000"/>
                            <a:lumOff val="0"/>
                          </a:srgbClr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V relativeFrom="page">
                <wp14:pctHeight>105000</wp14:pctHeight>
              </wp14:sizeRelV>
            </wp:anchor>
          </w:drawing>
        </mc:Choice>
        <mc:Fallback>
          <w:pict>
            <v:rect id="shape_0" ID="Rectangle 13" path="m0,0l-2147483645,0l-2147483645,-2147483646l0,-2147483646xe" fillcolor="white" stroked="t" o:allowincell="f" style="position:absolute;margin-left:563.25pt;margin-top:-17.25pt;width:7.1pt;height:895pt;mso-wrap-style:none;v-text-anchor:middle;mso-position-horizontal-relative:page;mso-position-vertical-relative:page" wp14:anchorId="19CD3501">
              <v:fill o:detectmouseclick="t" type="solid" color2="black"/>
              <v:stroke color="#31859c" weight="9360" joinstyle="miter" endcap="flat"/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 wp14:anchorId="275E3879">
              <wp:simplePos x="0" y="0"/>
              <wp:positionH relativeFrom="page">
                <wp:align>center</wp:align>
              </wp:positionH>
              <wp:positionV relativeFrom="topMargin">
                <wp:align>top</wp:align>
              </wp:positionV>
              <wp:extent cx="8038465" cy="584200"/>
              <wp:effectExtent l="20320" t="19050" r="35560" b="46355"/>
              <wp:wrapNone/>
              <wp:docPr id="11" name="Rectang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7720" cy="5835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rgbClr val="ffffff">
                            <a:lumMod val="95000"/>
                            <a:lumOff val="0"/>
                          </a:srgbClr>
                        </a:solidFill>
                        <a:miter/>
                      </a:ln>
                      <a:effectLst>
                        <a:outerShdw algn="ctr" dir="3825519" dist="28496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105000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shape_0" ID="Rectangle 7" path="m0,0l-2147483645,0l-2147483645,-2147483646l0,-2147483646xe" fillcolor="#4f81bd" stroked="t" o:allowincell="f" style="position:absolute;margin-left:-18.8pt;margin-top:0pt;width:632.85pt;height:45.9pt;mso-wrap-style:none;v-text-anchor:middle;mso-position-horizontal:center;mso-position-horizontal-relative:page;mso-position-vertical:top" wp14:anchorId="275E3879">
              <v:fill o:detectmouseclick="t" type="solid" color2="#b07e42"/>
              <v:stroke color="#f2f2f2" weight="38160" joinstyle="miter" endcap="flat"/>
              <v:shadow on="t" obscured="f" color="#254061"/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5c6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2138a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83073e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0459da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bf5338"/>
    <w:rPr>
      <w:color w:val="0000FF" w:themeColor="hyperlink"/>
      <w:u w:val="single"/>
    </w:rPr>
  </w:style>
  <w:style w:type="character" w:styleId="CollegamentoInternetvisitato">
    <w:name w:val="Collegamento Internet visitato"/>
    <w:basedOn w:val="DefaultParagraphFont"/>
    <w:uiPriority w:val="99"/>
    <w:semiHidden/>
    <w:unhideWhenUsed/>
    <w:rsid w:val="00da1e1e"/>
    <w:rPr>
      <w:color w:val="800080" w:themeColor="followedHyperlink"/>
      <w:u w:val="single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1a67e1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a67e1"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2138a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138a0"/>
    <w:rPr>
      <w:rFonts w:ascii="Tahoma" w:hAnsi="Tahoma" w:cs="Tahoma"/>
      <w:sz w:val="16"/>
      <w:szCs w:val="16"/>
    </w:rPr>
  </w:style>
  <w:style w:type="character" w:styleId="NessunaspaziaturaCarattere" w:customStyle="1">
    <w:name w:val="Nessuna spaziatura Carattere"/>
    <w:basedOn w:val="DefaultParagraphFont"/>
    <w:link w:val="Nessunaspaziatura"/>
    <w:uiPriority w:val="1"/>
    <w:qFormat/>
    <w:rsid w:val="007b4450"/>
    <w:rPr>
      <w:rFonts w:eastAsia="" w:eastAsiaTheme="minorEastAsia"/>
    </w:rPr>
  </w:style>
  <w:style w:type="character" w:styleId="Markedcontent" w:customStyle="1">
    <w:name w:val="markedcontent"/>
    <w:basedOn w:val="DefaultParagraphFont"/>
    <w:qFormat/>
    <w:rsid w:val="00f50b75"/>
    <w:rPr/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0459d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83073e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87316"/>
    <w:rPr>
      <w:color w:val="605E5C"/>
      <w:shd w:fill="E1DFDD" w:val="clear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fc097e"/>
    <w:rPr>
      <w:rFonts w:eastAsia="" w:eastAsiaTheme="minorEastAsia"/>
      <w:color w:val="5A5A5A" w:themeColor="text1" w:themeTint="a5"/>
      <w:spacing w:val="15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d42f02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5832f7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a11a14"/>
    <w:pPr>
      <w:spacing w:lineRule="atLeast" w:line="360" w:before="0" w:after="24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a67e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1a67e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/>
    <w:unhideWhenUsed/>
    <w:qFormat/>
    <w:rsid w:val="002138a0"/>
    <w:pPr>
      <w:outlineLvl w:val="9"/>
    </w:pPr>
    <w:rPr/>
  </w:style>
  <w:style w:type="paragraph" w:styleId="Indice2">
    <w:name w:val="TOC 2"/>
    <w:basedOn w:val="Normal"/>
    <w:next w:val="Normal"/>
    <w:autoRedefine/>
    <w:uiPriority w:val="39"/>
    <w:unhideWhenUsed/>
    <w:qFormat/>
    <w:rsid w:val="002138a0"/>
    <w:pPr>
      <w:spacing w:before="0" w:after="100"/>
      <w:ind w:left="220" w:hanging="0"/>
    </w:pPr>
    <w:rPr>
      <w:rFonts w:eastAsia="" w:eastAsiaTheme="minorEastAsia"/>
    </w:rPr>
  </w:style>
  <w:style w:type="paragraph" w:styleId="Indice1">
    <w:name w:val="TOC 1"/>
    <w:basedOn w:val="Normal"/>
    <w:next w:val="Normal"/>
    <w:autoRedefine/>
    <w:uiPriority w:val="39"/>
    <w:semiHidden/>
    <w:unhideWhenUsed/>
    <w:qFormat/>
    <w:rsid w:val="002138a0"/>
    <w:pPr>
      <w:spacing w:before="0" w:after="100"/>
    </w:pPr>
    <w:rPr>
      <w:rFonts w:eastAsia="" w:eastAsiaTheme="minorEastAsia"/>
    </w:rPr>
  </w:style>
  <w:style w:type="paragraph" w:styleId="Indice3">
    <w:name w:val="TOC 3"/>
    <w:basedOn w:val="Normal"/>
    <w:next w:val="Normal"/>
    <w:autoRedefine/>
    <w:uiPriority w:val="39"/>
    <w:unhideWhenUsed/>
    <w:qFormat/>
    <w:rsid w:val="002138a0"/>
    <w:pPr>
      <w:spacing w:before="0" w:after="100"/>
      <w:ind w:left="440" w:hanging="0"/>
    </w:pPr>
    <w:rPr>
      <w:rFonts w:eastAsia="" w:eastAsiaTheme="minorEastAsi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138a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link w:val="NessunaspaziaturaCarattere"/>
    <w:uiPriority w:val="1"/>
    <w:qFormat/>
    <w:rsid w:val="007b4450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val="it-IT" w:eastAsia="en-US" w:bidi="ar-SA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fc097e"/>
    <w:pPr>
      <w:spacing w:before="0" w:after="160"/>
    </w:pPr>
    <w:rPr>
      <w:rFonts w:eastAsia="" w:eastAsiaTheme="minorEastAsia"/>
      <w:color w:val="5A5A5A" w:themeColor="text1" w:themeTint="a5"/>
      <w:spacing w:val="15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4b6b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ec.ufficioprotocollo.cervinara@asmepec.it" TargetMode="External"/><Relationship Id="rId4" Type="http://schemas.openxmlformats.org/officeDocument/2006/relationships/hyperlink" Target="http://www.comune.cervinara.av.it/" TargetMode="External"/><Relationship Id="rId5" Type="http://schemas.openxmlformats.org/officeDocument/2006/relationships/hyperlink" Target="http://www.comune.cervinara.av.it/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overPageProperties xmlns="http://schemas.microsoft.com/office/2006/coverPageProps">
  <PublishDate>2014-12-02T00:00:00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FE4A4DF5-835A-4702-8DEB-DEA5F8E05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LibreOffice/7.2.4.1$Windows_X86_64 LibreOffice_project/27d75539669ac387bb498e35313b970b7fe9c4f9</Application>
  <AppVersion>15.0000</AppVersion>
  <Pages>3</Pages>
  <Words>938</Words>
  <Characters>5679</Characters>
  <CharactersWithSpaces>6586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2025-07-31T10:19:00Z</dcterms:created>
  <dc:creator>utente</dc:creator>
  <dc:description/>
  <dc:language>it-IT</dc:language>
  <cp:lastModifiedBy/>
  <cp:lastPrinted>2023-02-23T12:42:00Z</cp:lastPrinted>
  <dcterms:modified xsi:type="dcterms:W3CDTF">2025-08-01T17:44:44Z</dcterms:modified>
  <cp:revision>4</cp:revision>
  <dc:subject>Linee Guida AgID sulla formazione, gestione e conservazione dei documenti informatici in ottemperanza a quanto previsto dal Piano Triennale per l’informatica nella Pubblica Amministrazione 2024-2026</dc:subject>
  <dc:title>AGGIORNAMENTO MANUALE DI GESTIONE DOCUMENTALE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